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D0" w:rsidRPr="007E7AE9" w:rsidRDefault="00FA73DC" w:rsidP="007E7AE9">
      <w:pPr>
        <w:pStyle w:val="Heading1"/>
      </w:pPr>
      <w:bookmarkStart w:id="0" w:name="_Toc326748408"/>
      <w:r w:rsidRPr="007E7AE9">
        <w:rPr>
          <w:rFonts w:ascii="Georgia" w:eastAsia="Georgia" w:hAnsi="Georgia" w:cs="Georgia"/>
          <w:iCs/>
          <w:szCs w:val="56"/>
          <w:lang w:val="es-ES"/>
        </w:rPr>
        <w:t>Folleto A</w:t>
      </w:r>
      <w:bookmarkEnd w:id="0"/>
    </w:p>
    <w:p w:rsidR="001F5CD0" w:rsidRDefault="00FA73DC" w:rsidP="007713C0">
      <w:pPr>
        <w:pStyle w:val="Heading2"/>
      </w:pPr>
      <w:r w:rsidRPr="007713C0">
        <w:rPr>
          <w:rFonts w:ascii="Georgia" w:eastAsia="Georgia" w:hAnsi="Georgia" w:cs="Georgia"/>
          <w:iCs/>
          <w:color w:val="A32020"/>
          <w:szCs w:val="32"/>
          <w:lang w:val="es-ES"/>
        </w:rPr>
        <w:t>Presupuesto equilibrado</w:t>
      </w:r>
    </w:p>
    <w:p w:rsidR="001F5CD0" w:rsidRDefault="00FA73DC" w:rsidP="007713C0">
      <w:pPr>
        <w:pStyle w:val="Heading3"/>
      </w:pPr>
      <w:r w:rsidRPr="007713C0">
        <w:rPr>
          <w:rFonts w:ascii="Georgia" w:eastAsia="Georgia" w:hAnsi="Georgia" w:cs="Georgia"/>
          <w:iCs/>
          <w:color w:val="A32020"/>
          <w:szCs w:val="32"/>
          <w:lang w:val="es-ES"/>
        </w:rPr>
        <w:t xml:space="preserve">Presupuesto mensual </w:t>
      </w:r>
    </w:p>
    <w:tbl>
      <w:tblPr>
        <w:tblStyle w:val="DP-Plain2"/>
        <w:tblW w:w="5000" w:type="pct"/>
        <w:tblLook w:val="04A0"/>
      </w:tblPr>
      <w:tblGrid>
        <w:gridCol w:w="3092"/>
        <w:gridCol w:w="1516"/>
        <w:gridCol w:w="3023"/>
        <w:gridCol w:w="1585"/>
      </w:tblGrid>
      <w:tr w:rsidR="003840E9" w:rsidTr="003840E9">
        <w:trPr>
          <w:cnfStyle w:val="100000000000"/>
        </w:trPr>
        <w:tc>
          <w:tcPr>
            <w:tcW w:w="5227" w:type="dxa"/>
            <w:gridSpan w:val="2"/>
          </w:tcPr>
          <w:p w:rsidR="00211DC3" w:rsidRPr="00211DC3" w:rsidRDefault="00FA73DC" w:rsidP="00211DC3">
            <w:pPr>
              <w:pStyle w:val="TableTitleArial"/>
            </w:pPr>
            <w:r w:rsidRPr="00211DC3">
              <w:rPr>
                <w:rFonts w:eastAsia="Arial" w:cs="Arial"/>
                <w:b w:val="0"/>
                <w:color w:val="auto"/>
                <w:lang w:val="es-ES"/>
              </w:rPr>
              <w:t>Ingresos (Dinero entrante)</w:t>
            </w:r>
          </w:p>
        </w:tc>
        <w:tc>
          <w:tcPr>
            <w:tcW w:w="5185" w:type="dxa"/>
            <w:gridSpan w:val="2"/>
          </w:tcPr>
          <w:p w:rsidR="00211DC3" w:rsidRPr="00211DC3" w:rsidRDefault="00FA73DC" w:rsidP="00211DC3">
            <w:pPr>
              <w:pStyle w:val="TableTitleArial"/>
            </w:pPr>
            <w:r w:rsidRPr="00211DC3">
              <w:rPr>
                <w:rFonts w:eastAsia="Arial" w:cs="Arial"/>
                <w:b w:val="0"/>
                <w:color w:val="auto"/>
                <w:lang w:val="es-ES"/>
              </w:rPr>
              <w:t xml:space="preserve">Gastos (Dinero saliente) 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FA73DC" w:rsidP="005B64D7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 xml:space="preserve">Salario (luego de deducir los impuestos) </w:t>
            </w:r>
          </w:p>
        </w:tc>
        <w:tc>
          <w:tcPr>
            <w:tcW w:w="1700" w:type="dxa"/>
          </w:tcPr>
          <w:p w:rsidR="00211DC3" w:rsidRPr="00211DC3" w:rsidRDefault="00FA73DC" w:rsidP="005B64D7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USD 2.500</w:t>
            </w:r>
          </w:p>
        </w:tc>
        <w:tc>
          <w:tcPr>
            <w:tcW w:w="3400" w:type="dxa"/>
          </w:tcPr>
          <w:p w:rsidR="00211DC3" w:rsidRPr="007460F4" w:rsidRDefault="00FA73DC" w:rsidP="005B64D7">
            <w:pPr>
              <w:pStyle w:val="TableSecondLevelArial"/>
              <w:rPr>
                <w:b/>
              </w:rPr>
            </w:pPr>
            <w:r w:rsidRPr="0001167D">
              <w:rPr>
                <w:rFonts w:eastAsia="Arial"/>
                <w:b/>
                <w:bCs/>
                <w:color w:val="A32020"/>
                <w:lang w:val="es-ES"/>
              </w:rPr>
              <w:t>Gastos fijos</w:t>
            </w:r>
          </w:p>
        </w:tc>
        <w:tc>
          <w:tcPr>
            <w:tcW w:w="1785" w:type="dxa"/>
          </w:tcPr>
          <w:p w:rsidR="00211DC3" w:rsidRPr="00211DC3" w:rsidRDefault="004759ED" w:rsidP="00211DC3">
            <w:pPr>
              <w:pStyle w:val="TableTextArial"/>
            </w:pP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Alquiler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USD 1.000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Pago de automóvil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 xml:space="preserve">USD 200 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Seguro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75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Ahorro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 xml:space="preserve">100 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7460F4" w:rsidRDefault="00FA73DC" w:rsidP="005B64D7">
            <w:pPr>
              <w:pStyle w:val="TableSecondLevelArial"/>
              <w:rPr>
                <w:b/>
              </w:rPr>
            </w:pPr>
            <w:r w:rsidRPr="0001167D">
              <w:rPr>
                <w:rFonts w:eastAsia="Arial"/>
                <w:b/>
                <w:bCs/>
                <w:color w:val="A32020"/>
                <w:lang w:val="es-ES"/>
              </w:rPr>
              <w:t>Gastos variables</w:t>
            </w:r>
          </w:p>
        </w:tc>
        <w:tc>
          <w:tcPr>
            <w:tcW w:w="1785" w:type="dxa"/>
          </w:tcPr>
          <w:p w:rsidR="00211DC3" w:rsidRPr="00211DC3" w:rsidRDefault="004759ED" w:rsidP="00211DC3">
            <w:pPr>
              <w:pStyle w:val="TableTextArial"/>
              <w:jc w:val="right"/>
            </w:pP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7460F4" w:rsidRDefault="00FA73DC" w:rsidP="00211DC3">
            <w:pPr>
              <w:pStyle w:val="TableTextArial"/>
              <w:rPr>
                <w:b/>
              </w:rPr>
            </w:pPr>
            <w:r w:rsidRPr="0001167D">
              <w:rPr>
                <w:rFonts w:eastAsia="Arial"/>
                <w:b/>
                <w:bCs/>
                <w:lang w:val="es-ES"/>
              </w:rPr>
              <w:t xml:space="preserve">Elementos de primera necesidad </w:t>
            </w:r>
          </w:p>
        </w:tc>
        <w:tc>
          <w:tcPr>
            <w:tcW w:w="1785" w:type="dxa"/>
          </w:tcPr>
          <w:p w:rsidR="00211DC3" w:rsidRPr="00211DC3" w:rsidRDefault="004759ED" w:rsidP="00211DC3">
            <w:pPr>
              <w:pStyle w:val="TableTextArial"/>
              <w:jc w:val="right"/>
            </w:pP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 xml:space="preserve">Factura de la luz 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52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Factura del gas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95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5B64D7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Alimentos para el hogar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 xml:space="preserve">USD 200 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 xml:space="preserve">Factura de tarjeta de crédito 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75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Gasolina para el automóvil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60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Teléfono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65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Ropa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50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Emergencias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68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7460F4" w:rsidRDefault="00FA73DC" w:rsidP="00211DC3">
            <w:pPr>
              <w:pStyle w:val="TableTextArial"/>
              <w:rPr>
                <w:b/>
              </w:rPr>
            </w:pPr>
            <w:r w:rsidRPr="0001167D">
              <w:rPr>
                <w:rFonts w:eastAsia="Arial"/>
                <w:b/>
                <w:bCs/>
                <w:lang w:val="es-ES"/>
              </w:rPr>
              <w:t>Elementos no necesarios</w:t>
            </w:r>
          </w:p>
        </w:tc>
        <w:tc>
          <w:tcPr>
            <w:tcW w:w="1785" w:type="dxa"/>
          </w:tcPr>
          <w:p w:rsidR="00211DC3" w:rsidRPr="00211DC3" w:rsidRDefault="004759ED" w:rsidP="00211DC3">
            <w:pPr>
              <w:pStyle w:val="TableTextArial"/>
              <w:jc w:val="right"/>
            </w:pP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 xml:space="preserve">TV por cable 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95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Cine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30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Libros y revistas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30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CD, DVD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35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211DC3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 xml:space="preserve">Comer en un restaurante 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 xml:space="preserve">100 </w:t>
            </w:r>
          </w:p>
        </w:tc>
      </w:tr>
      <w:tr w:rsidR="003840E9" w:rsidTr="003840E9">
        <w:tc>
          <w:tcPr>
            <w:tcW w:w="3527" w:type="dxa"/>
          </w:tcPr>
          <w:p w:rsidR="00211DC3" w:rsidRPr="00211DC3" w:rsidRDefault="004759ED" w:rsidP="00211DC3">
            <w:pPr>
              <w:pStyle w:val="TableTextArial"/>
            </w:pPr>
          </w:p>
        </w:tc>
        <w:tc>
          <w:tcPr>
            <w:tcW w:w="1700" w:type="dxa"/>
          </w:tcPr>
          <w:p w:rsidR="00211DC3" w:rsidRPr="00211DC3" w:rsidRDefault="004759ED" w:rsidP="005B64D7">
            <w:pPr>
              <w:pStyle w:val="TableTextArial"/>
              <w:jc w:val="right"/>
            </w:pPr>
          </w:p>
        </w:tc>
        <w:tc>
          <w:tcPr>
            <w:tcW w:w="3400" w:type="dxa"/>
          </w:tcPr>
          <w:p w:rsidR="00211DC3" w:rsidRPr="00211DC3" w:rsidRDefault="00FA73DC" w:rsidP="005B64D7">
            <w:pPr>
              <w:pStyle w:val="TableTextArial"/>
            </w:pPr>
            <w:r w:rsidRPr="00211DC3">
              <w:rPr>
                <w:rFonts w:eastAsia="Arial"/>
                <w:lang w:val="es-ES"/>
              </w:rPr>
              <w:t>Fondo de vacaciones</w:t>
            </w:r>
          </w:p>
        </w:tc>
        <w:tc>
          <w:tcPr>
            <w:tcW w:w="1785" w:type="dxa"/>
          </w:tcPr>
          <w:p w:rsidR="00211DC3" w:rsidRPr="00211DC3" w:rsidRDefault="00FA73DC" w:rsidP="00211DC3">
            <w:pPr>
              <w:pStyle w:val="TableTextArial"/>
              <w:jc w:val="right"/>
            </w:pPr>
            <w:r w:rsidRPr="00211DC3">
              <w:rPr>
                <w:rFonts w:eastAsia="Arial"/>
                <w:lang w:val="es-ES"/>
              </w:rPr>
              <w:t>170</w:t>
            </w:r>
          </w:p>
        </w:tc>
      </w:tr>
      <w:tr w:rsidR="003840E9" w:rsidTr="003840E9">
        <w:tc>
          <w:tcPr>
            <w:tcW w:w="3527" w:type="dxa"/>
          </w:tcPr>
          <w:p w:rsidR="00211DC3" w:rsidRPr="005B64D7" w:rsidRDefault="00FA73DC" w:rsidP="00211DC3">
            <w:pPr>
              <w:pStyle w:val="TableTextArial"/>
              <w:rPr>
                <w:b/>
              </w:rPr>
            </w:pPr>
            <w:r w:rsidRPr="005B64D7">
              <w:rPr>
                <w:rFonts w:eastAsia="Arial"/>
                <w:b/>
                <w:bCs/>
                <w:lang w:val="es-ES"/>
              </w:rPr>
              <w:t xml:space="preserve">Total </w:t>
            </w:r>
          </w:p>
        </w:tc>
        <w:tc>
          <w:tcPr>
            <w:tcW w:w="1700" w:type="dxa"/>
          </w:tcPr>
          <w:p w:rsidR="00211DC3" w:rsidRPr="005B64D7" w:rsidRDefault="00FA73DC" w:rsidP="005B64D7">
            <w:pPr>
              <w:pStyle w:val="TableTextArial"/>
              <w:jc w:val="right"/>
              <w:rPr>
                <w:b/>
              </w:rPr>
            </w:pPr>
            <w:r w:rsidRPr="005B64D7">
              <w:rPr>
                <w:rFonts w:eastAsia="Arial"/>
                <w:b/>
                <w:bCs/>
                <w:lang w:val="es-ES"/>
              </w:rPr>
              <w:t>USD 2.500</w:t>
            </w:r>
          </w:p>
        </w:tc>
        <w:tc>
          <w:tcPr>
            <w:tcW w:w="3400" w:type="dxa"/>
          </w:tcPr>
          <w:p w:rsidR="00211DC3" w:rsidRPr="005B64D7" w:rsidRDefault="00FA73DC" w:rsidP="00211DC3">
            <w:pPr>
              <w:pStyle w:val="TableTextArial"/>
              <w:rPr>
                <w:b/>
              </w:rPr>
            </w:pPr>
            <w:r w:rsidRPr="005B64D7">
              <w:rPr>
                <w:rFonts w:eastAsia="Arial"/>
                <w:b/>
                <w:bCs/>
                <w:lang w:val="es-ES"/>
              </w:rPr>
              <w:t>Total</w:t>
            </w:r>
          </w:p>
        </w:tc>
        <w:tc>
          <w:tcPr>
            <w:tcW w:w="1785" w:type="dxa"/>
          </w:tcPr>
          <w:p w:rsidR="00211DC3" w:rsidRPr="005B64D7" w:rsidRDefault="00FA73DC" w:rsidP="00211DC3">
            <w:pPr>
              <w:pStyle w:val="TableTextArial"/>
              <w:jc w:val="right"/>
              <w:rPr>
                <w:b/>
              </w:rPr>
            </w:pPr>
            <w:r w:rsidRPr="005B64D7">
              <w:rPr>
                <w:rFonts w:eastAsia="Arial"/>
                <w:b/>
                <w:bCs/>
                <w:lang w:val="es-ES"/>
              </w:rPr>
              <w:t>USD 2.500</w:t>
            </w:r>
          </w:p>
        </w:tc>
      </w:tr>
    </w:tbl>
    <w:p w:rsidR="007713C0" w:rsidRDefault="004759ED" w:rsidP="005B64D7">
      <w:pPr>
        <w:pStyle w:val="TableSpacer"/>
      </w:pPr>
    </w:p>
    <w:sectPr w:rsidR="007713C0" w:rsidSect="007E7AE9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3DC" w:rsidRDefault="00FA73DC" w:rsidP="003840E9">
      <w:pPr>
        <w:spacing w:after="0" w:line="240" w:lineRule="auto"/>
      </w:pPr>
      <w:r>
        <w:separator/>
      </w:r>
    </w:p>
  </w:endnote>
  <w:endnote w:type="continuationSeparator" w:id="0">
    <w:p w:rsidR="00FA73DC" w:rsidRDefault="00FA73DC" w:rsidP="0038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547C86" w:rsidRDefault="00FA73DC" w:rsidP="00DC3154">
    <w:pPr>
      <w:pStyle w:val="Copyright"/>
    </w:pPr>
    <w:r w:rsidRPr="009F5695">
      <w:rPr>
        <w:noProof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-1280795</wp:posOffset>
          </wp:positionV>
          <wp:extent cx="1638300" cy="1381125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Cs w:val="16"/>
        <w:lang w:val="es-ES"/>
      </w:rPr>
      <w:t>© 2012 PricewaterhouseCoopers LLP. Todos los derechos reservados. PwC se refiere a la empresa miembro de los Estados Unidos y puede referirse, a veces, a la red de PwC.</w:t>
    </w:r>
    <w:r w:rsidR="00CA4115">
      <w:rPr>
        <w:rFonts w:eastAsia="Arial" w:cs="Arial"/>
        <w:szCs w:val="16"/>
        <w:lang w:val="es-ES"/>
      </w:rPr>
      <w:t xml:space="preserve"> </w:t>
    </w:r>
    <w:r>
      <w:rPr>
        <w:rFonts w:eastAsia="Arial" w:cs="Arial"/>
        <w:szCs w:val="16"/>
        <w:lang w:val="es-ES"/>
      </w:rPr>
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Default="00FA73DC">
    <w:pPr>
      <w:pStyle w:val="Footer"/>
    </w:pPr>
    <w:r>
      <w:rPr>
        <w:rFonts w:ascii="Georgia" w:eastAsia="Georgia" w:hAnsi="Georgia" w:cs="Georgia"/>
        <w:szCs w:val="19"/>
        <w:lang w:val="es-ES"/>
      </w:rPr>
      <w:t>Aquí va la cláusula de exención de responsabilidad y declaraciones de derechos de autor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3DC" w:rsidRDefault="00FA73DC" w:rsidP="003840E9">
      <w:pPr>
        <w:spacing w:after="0" w:line="240" w:lineRule="auto"/>
      </w:pPr>
      <w:r>
        <w:separator/>
      </w:r>
    </w:p>
  </w:footnote>
  <w:footnote w:type="continuationSeparator" w:id="0">
    <w:p w:rsidR="00FA73DC" w:rsidRDefault="00FA73DC" w:rsidP="00384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9342"/>
    </w:tblGrid>
    <w:tr w:rsidR="003840E9" w:rsidTr="002160E6">
      <w:trPr>
        <w:cnfStyle w:val="100000000000"/>
      </w:trPr>
      <w:tc>
        <w:tcPr>
          <w:tcW w:w="5000" w:type="pct"/>
        </w:tcPr>
        <w:p w:rsidR="008E266F" w:rsidRPr="002160E6" w:rsidRDefault="004759ED" w:rsidP="00E12099">
          <w:pPr>
            <w:rPr>
              <w:sz w:val="24"/>
              <w:szCs w:val="24"/>
            </w:rPr>
          </w:pPr>
        </w:p>
      </w:tc>
    </w:tr>
  </w:tbl>
  <w:p w:rsidR="00FD6744" w:rsidRPr="005326DF" w:rsidRDefault="00B34EC0" w:rsidP="00FD6744">
    <w:pPr>
      <w:pStyle w:val="Header"/>
      <w:rPr>
        <w:rFonts w:asciiTheme="majorHAnsi" w:hAnsiTheme="majorHAnsi"/>
      </w:rPr>
    </w:pPr>
    <w:hyperlink r:id="rId1" w:history="1">
      <w:r w:rsidR="00FA73DC">
        <w:rPr>
          <w:rFonts w:ascii="Georgia" w:eastAsia="Georgia" w:hAnsi="Georgia" w:cs="Georgia"/>
          <w:szCs w:val="19"/>
          <w:lang w:val="es-ES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9227"/>
    </w:tblGrid>
    <w:tr w:rsidR="003840E9">
      <w:trPr>
        <w:cnfStyle w:val="100000000000"/>
        <w:trHeight w:hRule="exact" w:val="227"/>
      </w:trPr>
      <w:tc>
        <w:tcPr>
          <w:tcW w:w="5000" w:type="pct"/>
        </w:tcPr>
        <w:p w:rsidR="008E266F" w:rsidRDefault="004759ED">
          <w:pPr>
            <w:rPr>
              <w:sz w:val="14"/>
              <w:szCs w:val="14"/>
            </w:rPr>
          </w:pPr>
        </w:p>
      </w:tc>
    </w:tr>
  </w:tbl>
  <w:p w:rsidR="008E266F" w:rsidRDefault="00FA73DC">
    <w:pPr>
      <w:pStyle w:val="Header"/>
    </w:pPr>
    <w:r>
      <w:rPr>
        <w:rFonts w:ascii="Georgia" w:eastAsia="Georgia" w:hAnsi="Georgia" w:cs="Georgia"/>
        <w:szCs w:val="19"/>
        <w:lang w:val="es-ES"/>
      </w:rPr>
      <w:t>Header goes here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>Draft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3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9D31369"/>
    <w:multiLevelType w:val="hybridMultilevel"/>
    <w:tmpl w:val="F684CF04"/>
    <w:lvl w:ilvl="0" w:tplc="55040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D01E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9CCA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BF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A52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1C3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847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C6C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05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E6E54"/>
    <w:multiLevelType w:val="hybridMultilevel"/>
    <w:tmpl w:val="CE66A678"/>
    <w:lvl w:ilvl="0" w:tplc="F702A9E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A69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6E38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85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64F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C2E9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DAB5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94DE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E097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4D61B8B"/>
    <w:multiLevelType w:val="multilevel"/>
    <w:tmpl w:val="C78A7234"/>
    <w:numStyleLink w:val="Style4"/>
  </w:abstractNum>
  <w:abstractNum w:abstractNumId="10">
    <w:nsid w:val="166849C4"/>
    <w:multiLevelType w:val="multilevel"/>
    <w:tmpl w:val="C51AFEB6"/>
    <w:name w:val="PwCListBullets12"/>
    <w:numStyleLink w:val="PwCListBullets1"/>
  </w:abstractNum>
  <w:abstractNum w:abstractNumId="11">
    <w:nsid w:val="1968638E"/>
    <w:multiLevelType w:val="hybridMultilevel"/>
    <w:tmpl w:val="A1188E98"/>
    <w:lvl w:ilvl="0" w:tplc="BC2447D2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C9D472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E04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075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F2A2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B65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CA1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983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0EB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0C3CABF8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42D671E"/>
    <w:multiLevelType w:val="multilevel"/>
    <w:tmpl w:val="005623D4"/>
    <w:numStyleLink w:val="Style7"/>
  </w:abstractNum>
  <w:abstractNum w:abstractNumId="16">
    <w:nsid w:val="369F24B6"/>
    <w:multiLevelType w:val="multilevel"/>
    <w:tmpl w:val="005623D4"/>
    <w:numStyleLink w:val="Style7"/>
  </w:abstractNum>
  <w:abstractNum w:abstractNumId="17">
    <w:nsid w:val="37CA120E"/>
    <w:multiLevelType w:val="hybridMultilevel"/>
    <w:tmpl w:val="BC385FCA"/>
    <w:lvl w:ilvl="0" w:tplc="283CE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480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DE1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D418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5868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4482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0878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F8D7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8CC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3C57163F"/>
    <w:multiLevelType w:val="hybridMultilevel"/>
    <w:tmpl w:val="B480232C"/>
    <w:name w:val="PwCListNumbers13"/>
    <w:lvl w:ilvl="0" w:tplc="E2B60E68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0CAED0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F6D2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8FC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506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2FC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82B7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F841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464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80FB8"/>
    <w:multiLevelType w:val="hybridMultilevel"/>
    <w:tmpl w:val="59744192"/>
    <w:lvl w:ilvl="0" w:tplc="816EF624">
      <w:start w:val="1"/>
      <w:numFmt w:val="decimal"/>
      <w:lvlText w:val="%1."/>
      <w:lvlJc w:val="left"/>
      <w:pPr>
        <w:ind w:left="720" w:hanging="360"/>
      </w:pPr>
    </w:lvl>
    <w:lvl w:ilvl="1" w:tplc="854078D8" w:tentative="1">
      <w:start w:val="1"/>
      <w:numFmt w:val="lowerLetter"/>
      <w:lvlText w:val="%2."/>
      <w:lvlJc w:val="left"/>
      <w:pPr>
        <w:ind w:left="1440" w:hanging="360"/>
      </w:pPr>
    </w:lvl>
    <w:lvl w:ilvl="2" w:tplc="92CE7408" w:tentative="1">
      <w:start w:val="1"/>
      <w:numFmt w:val="lowerRoman"/>
      <w:lvlText w:val="%3."/>
      <w:lvlJc w:val="right"/>
      <w:pPr>
        <w:ind w:left="2160" w:hanging="180"/>
      </w:pPr>
    </w:lvl>
    <w:lvl w:ilvl="3" w:tplc="D5CC8412" w:tentative="1">
      <w:start w:val="1"/>
      <w:numFmt w:val="decimal"/>
      <w:lvlText w:val="%4."/>
      <w:lvlJc w:val="left"/>
      <w:pPr>
        <w:ind w:left="2880" w:hanging="360"/>
      </w:pPr>
    </w:lvl>
    <w:lvl w:ilvl="4" w:tplc="1D825384" w:tentative="1">
      <w:start w:val="1"/>
      <w:numFmt w:val="lowerLetter"/>
      <w:lvlText w:val="%5."/>
      <w:lvlJc w:val="left"/>
      <w:pPr>
        <w:ind w:left="3600" w:hanging="360"/>
      </w:pPr>
    </w:lvl>
    <w:lvl w:ilvl="5" w:tplc="79FC25C2" w:tentative="1">
      <w:start w:val="1"/>
      <w:numFmt w:val="lowerRoman"/>
      <w:lvlText w:val="%6."/>
      <w:lvlJc w:val="right"/>
      <w:pPr>
        <w:ind w:left="4320" w:hanging="180"/>
      </w:pPr>
    </w:lvl>
    <w:lvl w:ilvl="6" w:tplc="F918AE4C" w:tentative="1">
      <w:start w:val="1"/>
      <w:numFmt w:val="decimal"/>
      <w:lvlText w:val="%7."/>
      <w:lvlJc w:val="left"/>
      <w:pPr>
        <w:ind w:left="5040" w:hanging="360"/>
      </w:pPr>
    </w:lvl>
    <w:lvl w:ilvl="7" w:tplc="393E7106" w:tentative="1">
      <w:start w:val="1"/>
      <w:numFmt w:val="lowerLetter"/>
      <w:lvlText w:val="%8."/>
      <w:lvlJc w:val="left"/>
      <w:pPr>
        <w:ind w:left="5760" w:hanging="360"/>
      </w:pPr>
    </w:lvl>
    <w:lvl w:ilvl="8" w:tplc="52167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102E8"/>
    <w:multiLevelType w:val="hybridMultilevel"/>
    <w:tmpl w:val="9724ABA0"/>
    <w:lvl w:ilvl="0" w:tplc="4964193A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1FC072D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56A474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E68902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A28B6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FE8602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060D3D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B9E234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C36F8E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23F29C0"/>
    <w:multiLevelType w:val="hybridMultilevel"/>
    <w:tmpl w:val="F79CB574"/>
    <w:lvl w:ilvl="0" w:tplc="231C7174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FEA6B15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2EC0F9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B96894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81DAF04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C02ABAC2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E30311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84181F5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9628142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CB55556"/>
    <w:multiLevelType w:val="multilevel"/>
    <w:tmpl w:val="C78A7234"/>
    <w:numStyleLink w:val="Style4"/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60171CAB"/>
    <w:multiLevelType w:val="multilevel"/>
    <w:tmpl w:val="82C06CC8"/>
    <w:name w:val="PwCListNumbers142"/>
    <w:numStyleLink w:val="Style2"/>
  </w:abstractNum>
  <w:abstractNum w:abstractNumId="29">
    <w:nsid w:val="60E16E88"/>
    <w:multiLevelType w:val="multilevel"/>
    <w:tmpl w:val="82C06CC8"/>
    <w:numStyleLink w:val="Style2"/>
  </w:abstractNum>
  <w:abstractNum w:abstractNumId="30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5DD2D80"/>
    <w:multiLevelType w:val="multilevel"/>
    <w:tmpl w:val="005623D4"/>
    <w:numStyleLink w:val="Style7"/>
  </w:abstractNum>
  <w:abstractNum w:abstractNumId="32">
    <w:nsid w:val="69A105C5"/>
    <w:multiLevelType w:val="multilevel"/>
    <w:tmpl w:val="0C3CABF8"/>
    <w:numStyleLink w:val="PwCListNumbers1"/>
  </w:abstractNum>
  <w:abstractNum w:abstractNumId="33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EEF2086"/>
    <w:multiLevelType w:val="multilevel"/>
    <w:tmpl w:val="82C06CC8"/>
    <w:numStyleLink w:val="Style2"/>
  </w:abstractNum>
  <w:abstractNum w:abstractNumId="36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64D4C51"/>
    <w:multiLevelType w:val="hybridMultilevel"/>
    <w:tmpl w:val="9214A9B4"/>
    <w:lvl w:ilvl="0" w:tplc="A3461D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04CF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45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E4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C1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F270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442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054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CC4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7D4582"/>
    <w:multiLevelType w:val="hybridMultilevel"/>
    <w:tmpl w:val="8698E050"/>
    <w:lvl w:ilvl="0" w:tplc="ADF2B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CDD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202F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E7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C76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2C7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04A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7EDB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940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8"/>
  </w:num>
  <w:num w:numId="4">
    <w:abstractNumId w:val="14"/>
  </w:num>
  <w:num w:numId="5">
    <w:abstractNumId w:val="21"/>
  </w:num>
  <w:num w:numId="6">
    <w:abstractNumId w:val="8"/>
  </w:num>
  <w:num w:numId="7">
    <w:abstractNumId w:val="2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6"/>
  </w:num>
  <w:num w:numId="9">
    <w:abstractNumId w:val="5"/>
  </w:num>
  <w:num w:numId="10">
    <w:abstractNumId w:val="11"/>
  </w:num>
  <w:num w:numId="11">
    <w:abstractNumId w:val="19"/>
  </w:num>
  <w:num w:numId="12">
    <w:abstractNumId w:val="7"/>
  </w:num>
  <w:num w:numId="13">
    <w:abstractNumId w:val="25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7"/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5"/>
  </w:num>
  <w:num w:numId="24">
    <w:abstractNumId w:val="32"/>
  </w:num>
  <w:num w:numId="25">
    <w:abstractNumId w:val="2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0"/>
  </w:num>
  <w:num w:numId="29">
    <w:abstractNumId w:val="9"/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3"/>
  </w:num>
  <w:num w:numId="34">
    <w:abstractNumId w:val="31"/>
  </w:num>
  <w:num w:numId="35">
    <w:abstractNumId w:val="15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17"/>
  </w:num>
  <w:num w:numId="47">
    <w:abstractNumId w:val="37"/>
  </w:num>
  <w:num w:numId="48">
    <w:abstractNumId w:val="0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4"/>
  <w:stylePaneSortMethod w:val="0000"/>
  <w:doNotTrackMoves/>
  <w:defaultTabStop w:val="0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0E9"/>
    <w:rsid w:val="003840E9"/>
    <w:rsid w:val="004759ED"/>
    <w:rsid w:val="00B34EC0"/>
    <w:rsid w:val="00CA4115"/>
    <w:rsid w:val="00FA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character" w:customStyle="1" w:styleId="headerslevel11">
    <w:name w:val="headerslevel11"/>
    <w:rsid w:val="00DD4823"/>
    <w:rPr>
      <w:rFonts w:ascii="Verdana" w:hAnsi="Verdana" w:hint="default"/>
      <w:b/>
      <w:bCs/>
      <w:color w:val="232F63"/>
      <w:sz w:val="18"/>
      <w:szCs w:val="18"/>
    </w:rPr>
  </w:style>
  <w:style w:type="paragraph" w:styleId="ListParagraph">
    <w:name w:val="List Paragraph"/>
    <w:basedOn w:val="Normal"/>
    <w:uiPriority w:val="34"/>
    <w:qFormat/>
    <w:rsid w:val="00DB1DF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6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F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FB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FB2"/>
    <w:rPr>
      <w:b/>
      <w:bCs/>
    </w:rPr>
  </w:style>
  <w:style w:type="paragraph" w:styleId="Revision">
    <w:name w:val="Revision"/>
    <w:hidden/>
    <w:uiPriority w:val="99"/>
    <w:semiHidden/>
    <w:rsid w:val="006B43F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7E7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DP0071F685_6-8_Saving%20and%20Investing%20Lesson_v1.0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9B039-D74A-4A60-BB0D-1A9B8D275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DP0071F685_6-8_Saving and Investing Lesson_v1.0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cp:lastModifiedBy>agates</cp:lastModifiedBy>
  <cp:revision>2</cp:revision>
  <cp:lastPrinted>2012-06-27T11:01:00Z</cp:lastPrinted>
  <dcterms:created xsi:type="dcterms:W3CDTF">2012-12-30T19:49:00Z</dcterms:created>
  <dcterms:modified xsi:type="dcterms:W3CDTF">2012-12-30T19:49:00Z</dcterms:modified>
</cp:coreProperties>
</file>